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125 vom 27. Dezember 2022</w:t>
      </w:r>
    </w:p>
    <w:p>
      <w:r>
        <w:t>SZ Gerichte, 2022-12-27, DE</w:t>
      </w:r>
    </w:p>
    <w:p>
      <w:r>
        <w:rPr>
          <w:b/>
        </w:rPr>
        <w:t xml:space="preserve">Quelle: </w:t>
      </w:r>
      <w:r>
        <w:t>https://mcp.opencaselaw.ch/entscheid/sz_gerichte_BEK 2022 125</w:t>
      </w:r>
    </w:p>
    <w:p>
      <w:r>
        <w:t>FR: SZ_GERICHTE BEK 2022 125 du 27 décembre 2022</w:t>
      </w:r>
    </w:p>
    <w:p>
      <w:r>
        <w:t>IT: SZ_GERICHTE BEK 2022 125 del 27 dicembre 2022</w:t>
      </w:r>
    </w:p>
    <w:p>
      <w:pPr>
        <w:pStyle w:val="Heading2"/>
      </w:pPr>
      <w:r>
        <w:t>Regeste</w:t>
      </w:r>
    </w:p>
    <w:p>
      <w:r>
        <w:t>Einstellung Strafverfahren | Staatsanwaltschaft</w:t>
      </w:r>
    </w:p>
    <w:p>
      <w:pPr>
        <w:pStyle w:val="Heading2"/>
      </w:pPr>
      <w:r>
        <w:t>Erwägungen</w:t>
      </w:r>
    </w:p>
    <w:p>
      <w:r>
        <w:rPr>
          <w:b/>
        </w:rPr>
        <w:t>E. 1</w:t>
      </w:r>
    </w:p>
    <w:p>
      <w:r>
        <w:t>Staatsanwaltschaft,</w:t>
      </w:r>
    </w:p>
    <w:p>
      <w:r>
        <w:rPr>
          <w:b/>
        </w:rPr>
        <w:t>E. 2</w:t>
      </w:r>
    </w:p>
    <w:p>
      <w:r>
        <w:t>B.________ , Beschuldigter und Beschwerdegegner, \n \n \n \n \n \n \n \n betreffend \n Einstellung Strafverfahren \n \n \n \n (Beschwerde gegen die Verfügung der Staatsanwaltschaft vom 10. August 2022, SU 2022 4148);- \n \n \n \n hat die Beschwerdekammer, \n \n nachdem sich ergeben und in Erwägung: \n 1. Die Staatsanwaltschaft erliess gegen B.________ am 28. Februar 2022 einen Strafbefehl wegen mehrfacher Zivildienstverweigerung im Sinne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